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100" w:beforeAutospacing="1" w:after="100" w:afterAutospacing="1" w:line="600" w:lineRule="exact"/>
        <w:jc w:val="center"/>
        <w:textAlignment w:val="auto"/>
        <w:outlineLvl w:val="0"/>
        <w:rPr>
          <w:rFonts w:hint="default" w:ascii="Times New Roman" w:hAnsi="Times New Roman" w:eastAsia="方正小标宋简体" w:cs="Times New Roman"/>
          <w:kern w:val="36"/>
          <w:sz w:val="44"/>
          <w:szCs w:val="44"/>
        </w:rPr>
      </w:pPr>
      <w:r>
        <w:rPr>
          <w:rFonts w:hint="default" w:ascii="Times New Roman" w:hAnsi="Times New Roman" w:eastAsia="方正小标宋简体" w:cs="Times New Roman"/>
          <w:kern w:val="36"/>
          <w:sz w:val="44"/>
          <w:szCs w:val="44"/>
        </w:rPr>
        <w:t>广西壮族自治区民政厅《行政处罚决定书》送达公告</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 w:cs="Times New Roman"/>
          <w:kern w:val="36"/>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kern w:val="36"/>
          <w:sz w:val="32"/>
          <w:szCs w:val="32"/>
        </w:rPr>
        <w:t>（2020年第1号）</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广西交通协会：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48号《行政处罚决定书》），限你单位自公告之日起60日内到我厅（地址：南宁市青秀区长虹路1号广西壮族自治区民政厅618办公室）领取，逾期视为送达。处罚决定书主要内容如下：</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交通协会成立登记的有关批复、广西社会组织统一信用代码库系统社会组织许可信息截图、广西社会组织年检系统2015年度和2016年度参检社会组织检查报告网上提交情况截图、2015年度年检和2016年度年检签领本等证据证实。根据《社会团体登记管理条例》第三十条第一款第(三)项之规定，本机关决定对你单位作出撤销登记的行政处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1、收到本决定书之日起十日内将社会团体登记证书（正、副本）及印章交回自治区民政厅社会组织管理局，并及时办理注销登记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2、今后不得再以广西交通协会名义在社会上进行活动。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本行政处罚决定书自送达之日起生效。如不服本决定，可以在收到本决定书之日起六十日内向广西壮族自治区人民政府或者中华人民共和国民政部申请行政复议，或者六个月内直接向南宁铁路运输法院提起行政诉讼。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pPr>
        <w:keepNext w:val="0"/>
        <w:keepLines w:val="0"/>
        <w:pageBreakBefore w:val="0"/>
        <w:tabs>
          <w:tab w:val="left" w:pos="8222"/>
        </w:tabs>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keepNext w:val="0"/>
        <w:keepLines w:val="0"/>
        <w:pageBreakBefore w:val="0"/>
        <w:tabs>
          <w:tab w:val="left" w:pos="8222"/>
        </w:tabs>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600" w:lineRule="exact"/>
        <w:jc w:val="both"/>
        <w:textAlignment w:val="auto"/>
        <w:outlineLvl w:val="0"/>
        <w:rPr>
          <w:rFonts w:hint="default" w:ascii="Times New Roman" w:hAnsi="Times New Roman" w:eastAsia="仿宋" w:cs="Times New Roman"/>
          <w:kern w:val="36"/>
          <w:sz w:val="32"/>
          <w:szCs w:val="32"/>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600" w:lineRule="exact"/>
        <w:jc w:val="both"/>
        <w:textAlignment w:val="auto"/>
        <w:outlineLvl w:val="0"/>
        <w:rPr>
          <w:rFonts w:hint="default" w:ascii="Times New Roman" w:hAnsi="Times New Roman" w:eastAsia="仿宋" w:cs="Times New Roman"/>
          <w:kern w:val="36"/>
          <w:sz w:val="32"/>
          <w:szCs w:val="32"/>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600" w:lineRule="exact"/>
        <w:jc w:val="center"/>
        <w:textAlignment w:val="auto"/>
        <w:outlineLvl w:val="0"/>
        <w:rPr>
          <w:rFonts w:hint="default" w:ascii="Times New Roman" w:hAnsi="Times New Roman" w:eastAsia="仿宋" w:cs="Times New Roman"/>
          <w:kern w:val="36"/>
          <w:sz w:val="32"/>
          <w:szCs w:val="32"/>
        </w:rPr>
      </w:pPr>
      <w:r>
        <w:rPr>
          <w:rFonts w:hint="default" w:ascii="Times New Roman" w:hAnsi="Times New Roman" w:eastAsia="方正小标宋简体" w:cs="Times New Roman"/>
          <w:kern w:val="36"/>
          <w:sz w:val="44"/>
          <w:szCs w:val="44"/>
        </w:rPr>
        <w:t>广西壮族自治区民政厅《行政处罚决定书》送达公告</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 w:cs="Times New Roman"/>
          <w:kern w:val="36"/>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 w:cs="Times New Roman"/>
          <w:kern w:val="36"/>
          <w:sz w:val="32"/>
          <w:szCs w:val="32"/>
        </w:rPr>
      </w:pPr>
      <w:r>
        <w:rPr>
          <w:rFonts w:hint="default" w:ascii="Times New Roman" w:hAnsi="Times New Roman" w:eastAsia="楷体" w:cs="Times New Roman"/>
          <w:kern w:val="36"/>
          <w:sz w:val="32"/>
          <w:szCs w:val="32"/>
        </w:rPr>
        <w:t>（2020年第2号）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广西电力会计学会：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49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电力会计学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依法对你单位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2.今后不得再以广西电力会计学会名义在社会上进行活动。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 w:val="left" w:pos="8364"/>
        </w:tabs>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 w:val="left" w:pos="8364"/>
        </w:tabs>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 w:val="left" w:pos="8364"/>
        </w:tabs>
        <w:kinsoku/>
        <w:wordWrap/>
        <w:overflowPunct/>
        <w:topLinePunct w:val="0"/>
        <w:autoSpaceDE/>
        <w:autoSpaceDN/>
        <w:bidi w:val="0"/>
        <w:adjustRightInd/>
        <w:snapToGrid/>
        <w:spacing w:line="600" w:lineRule="exact"/>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 w:val="left" w:pos="8364"/>
        </w:tabs>
        <w:kinsoku/>
        <w:wordWrap w:val="0"/>
        <w:overflowPunct/>
        <w:topLinePunct w:val="0"/>
        <w:autoSpaceDE/>
        <w:autoSpaceDN/>
        <w:bidi w:val="0"/>
        <w:adjustRightInd/>
        <w:snapToGrid/>
        <w:spacing w:line="600" w:lineRule="exact"/>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（2020年第3号）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广西林业统计学会：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50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林业统计学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依法对你单位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2.今后不得再以广西林业统计学会名义在社会上进行活动。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（2020年第4号）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广西国际潜水协会：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51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国际潜水协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依法对你单位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2.今后不得再以广西国际潜水协会名义在社会上进行活动。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（2020年第5号）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广西大众跆拳道协会：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53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大众跆拳道协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2.今后不得再以广西大众跆拳道协会名义在社会上进行活动。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7655"/>
          <w:tab w:val="left" w:pos="7797"/>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7655"/>
          <w:tab w:val="left" w:pos="7797"/>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7655"/>
          <w:tab w:val="left" w:pos="7797"/>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7655"/>
          <w:tab w:val="left" w:pos="7797"/>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（2020年第6号）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广西国际文化艺术交流促进会：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54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国际文化艺术交流促进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2.今后不得再以广西国际文化艺术交流促进会名义在社会上进行活动。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（2020年第7号）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广西文物收藏家协会：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55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文物收藏家协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2.今后不得再以广西文物收藏家协会名义在社会上进行活动。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（2020年第8号）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广西水生动物复育放生协会：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57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水生动物复育放生协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2.今后不得再以广西水生动物复育放生协会名义在社会上进行活动。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（2020年第9号）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广西人口学会：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58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人口学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2.今后不得再以广西人口学会名义在社会上进行活动。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（2020年第10号）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广西公共关系协会：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59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公共关系协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2.今后不得再以广西公共关系协会名义在社会上进行活动。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（2020年第11号）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广西会展行业协会：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61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会展行业协会成立登记的有关批复、广西社会组织统一信用代码库系统社会组织行政许可信息截图、广西社会组织年检系统2015年度和2016年度年检报告网上提交情况截图、2015年度年检和2016年度年检签领本等证据证实。根据《社会团体登记管理条例》第三十条第一款第（三）项之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1.收到本决定书之日起十日内将社会团体登记证书（正、副本）及印章交回自治区民政厅社会组织管理局，并及时办理注销登记。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2.今后不得再以广西会展行业协会名义在社会上进行活动。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（2020年第12号）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广西神龙武术学校：</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63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神龙武术学校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2.今后不得再以广西神龙武术学校名义在社会上进行活动。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（2020年第13号）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广西八桂宏斗运动舞蹈俱乐部：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64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八桂宏斗运动舞蹈俱乐部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2.今后不得再以广西八桂宏斗运动舞蹈俱乐部名义在社会上进行活动。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（2020年第14号）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广西东方民族实验歌舞团：</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65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东方民族实验歌舞团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2.今后不得再以广西东方民族实验歌舞团名义在社会上进行活动。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（2020年第15号）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广西农林蜜蜂开发研究所：</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66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农林蜜蜂开发研究所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2.今后不得再以广西农林蜜蜂开发研究所名义在社会上进行活动。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（2020年第16号）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广西东盟杂交水稻工程技术研究院：</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67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东盟杂交水稻工程技术研究院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2.今后不得再以广西东盟杂交水稻工程技术研究院名义在社会上进行活动。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tabs>
          <w:tab w:val="left" w:pos="8222"/>
        </w:tabs>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tabs>
          <w:tab w:val="left" w:pos="8222"/>
        </w:tabs>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2020年3月14日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（2020年第17号）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广西国际合作扶贫发展中心：</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68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国际合作扶贫发展中心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2.今后不得再以广西国际合作扶贫发展中心名义在社会上进行活动。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bookmarkStart w:id="0" w:name="_GoBack"/>
      <w:bookmarkEnd w:id="0"/>
      <w:r>
        <w:rPr>
          <w:rFonts w:hint="default" w:ascii="Times New Roman" w:hAnsi="Times New Roman" w:eastAsia="仿宋" w:cs="Times New Roman"/>
          <w:sz w:val="32"/>
          <w:szCs w:val="32"/>
        </w:rPr>
        <w:t>2020年3月 14 日</w:t>
      </w:r>
      <w:r>
        <w:rPr>
          <w:rFonts w:hint="default" w:ascii="Times New Roman" w:hAnsi="Times New Roman" w:eastAsia="仿宋" w:cs="Times New Roman"/>
          <w:sz w:val="32"/>
          <w:szCs w:val="32"/>
          <w:lang w:val="en-US" w:eastAsia="zh-CN"/>
        </w:rPr>
        <w:t xml:space="preserve">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广西壮族自治区民政厅《行政处罚决定书》送达公告</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（2020年第18号）</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广西公务员健康体检中心：</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你单位去向不明，无法送达有关法律文书，现依法公告送达（桂社管处罚字〔2019〕第69号《行政处罚决定书》），限你单位自公告之日起60日内到我厅（地址：南宁市青秀区长虹路1号广西壮族自治区民政厅618办公室）领取，逾期视为送达。处罚决定书主要内容如下：</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查明，你单位连续2015、2016年度不按规定参加年度检查。以上事实有《自治区民政厅关于开展全区性社会团体、民办非企业单位2015年度检查工作的通知》、《自治区民政厅关于开展全区性社会团体、民办非企业单位2016年度检查工作的通知》、自治区民政厅关于同意广西公务员健康体检中心成立登记的有关批复、广西社会组织统一信用代码库系统社会组织政行许可信息截图、广西社会组织年检系统2015年度和2016年度年检报告网上提交情况截图、2015年度年检和2016年度年检签领本等证据证实。根据《民办非企业单位登记管理暂行条例》第二十五条第一款第（三）项和《民办非企业单位年度检查办法》第十条规定，本机关决定对你单位依法作出撤销登记的行政处罚。</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现要求你单位：</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1.收到本决定书之日起十日内将民办非企业单位登记证书（正、副本）及印章交回自治区民政厅社会组织管理局，并及时办理注销登记。</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2.今后不得再以广西公务员健康体检中心名义在社会上进行活动。</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本行政处罚决定自送达之日起生效。如不服本决定，可以在收到本决定书之日起六十日内向广西壮族自治区人民政府或中华人民共和国民政部申请行政复议，或者六个月内直接向南宁铁路运输法院提起行政诉讼。</w:t>
      </w:r>
    </w:p>
    <w:p>
      <w:pPr>
        <w:pStyle w:val="8"/>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特此公告。  </w:t>
      </w: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sz w:val="32"/>
          <w:szCs w:val="32"/>
        </w:rPr>
      </w:pPr>
    </w:p>
    <w:p>
      <w:pPr>
        <w:pStyle w:val="8"/>
        <w:keepNext w:val="0"/>
        <w:keepLines w:val="0"/>
        <w:pageBreakBefore w:val="0"/>
        <w:widowControl/>
        <w:kinsoku/>
        <w:wordWrap/>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广西壮族自治区民政厅</w:t>
      </w:r>
    </w:p>
    <w:p>
      <w:pPr>
        <w:pStyle w:val="8"/>
        <w:keepNext w:val="0"/>
        <w:keepLines w:val="0"/>
        <w:pageBreakBefore w:val="0"/>
        <w:widowControl/>
        <w:kinsoku/>
        <w:wordWrap w:val="0"/>
        <w:overflowPunct/>
        <w:topLinePunct w:val="0"/>
        <w:autoSpaceDE/>
        <w:autoSpaceDN/>
        <w:bidi w:val="0"/>
        <w:adjustRightInd/>
        <w:snapToGrid/>
        <w:spacing w:line="600" w:lineRule="exact"/>
        <w:ind w:firstLine="0" w:firstLine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2020年3月 14 日</w:t>
      </w:r>
      <w:r>
        <w:rPr>
          <w:rFonts w:hint="default" w:ascii="Times New Roman" w:hAnsi="Times New Roman" w:eastAsia="仿宋" w:cs="Times New Roman"/>
          <w:sz w:val="32"/>
          <w:szCs w:val="32"/>
          <w:lang w:val="en-US" w:eastAsia="zh-CN"/>
        </w:rPr>
        <w:t xml:space="preserve"> </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A6A"/>
    <w:rsid w:val="000065F0"/>
    <w:rsid w:val="00024153"/>
    <w:rsid w:val="00051F03"/>
    <w:rsid w:val="00055CEE"/>
    <w:rsid w:val="000B3AF1"/>
    <w:rsid w:val="000D4991"/>
    <w:rsid w:val="0010368E"/>
    <w:rsid w:val="001210EA"/>
    <w:rsid w:val="00126287"/>
    <w:rsid w:val="00132245"/>
    <w:rsid w:val="001357C4"/>
    <w:rsid w:val="00147FEF"/>
    <w:rsid w:val="001518C3"/>
    <w:rsid w:val="00153AEC"/>
    <w:rsid w:val="00160A46"/>
    <w:rsid w:val="002119D9"/>
    <w:rsid w:val="00220CA4"/>
    <w:rsid w:val="002229A0"/>
    <w:rsid w:val="00242961"/>
    <w:rsid w:val="002548A0"/>
    <w:rsid w:val="00260342"/>
    <w:rsid w:val="00266D8F"/>
    <w:rsid w:val="002952E0"/>
    <w:rsid w:val="002B22A1"/>
    <w:rsid w:val="002C3AD2"/>
    <w:rsid w:val="002C5A9C"/>
    <w:rsid w:val="003250F2"/>
    <w:rsid w:val="00340EC1"/>
    <w:rsid w:val="003534D0"/>
    <w:rsid w:val="003701D5"/>
    <w:rsid w:val="00384F75"/>
    <w:rsid w:val="00392E70"/>
    <w:rsid w:val="003A46AF"/>
    <w:rsid w:val="003B0C4B"/>
    <w:rsid w:val="003E1761"/>
    <w:rsid w:val="00413771"/>
    <w:rsid w:val="00436205"/>
    <w:rsid w:val="0047760C"/>
    <w:rsid w:val="0048279D"/>
    <w:rsid w:val="004A0A6A"/>
    <w:rsid w:val="004C4526"/>
    <w:rsid w:val="00557E3D"/>
    <w:rsid w:val="005919F8"/>
    <w:rsid w:val="00591C1C"/>
    <w:rsid w:val="005A1225"/>
    <w:rsid w:val="005D0E3E"/>
    <w:rsid w:val="005E77CE"/>
    <w:rsid w:val="0062097A"/>
    <w:rsid w:val="00667BFE"/>
    <w:rsid w:val="006869D8"/>
    <w:rsid w:val="006872FE"/>
    <w:rsid w:val="00694E08"/>
    <w:rsid w:val="006B2642"/>
    <w:rsid w:val="0073328C"/>
    <w:rsid w:val="00737D6A"/>
    <w:rsid w:val="007428AC"/>
    <w:rsid w:val="00743D62"/>
    <w:rsid w:val="007472A4"/>
    <w:rsid w:val="007711AB"/>
    <w:rsid w:val="007B7537"/>
    <w:rsid w:val="007D636A"/>
    <w:rsid w:val="007E3EDC"/>
    <w:rsid w:val="008158C1"/>
    <w:rsid w:val="0085013B"/>
    <w:rsid w:val="00850645"/>
    <w:rsid w:val="00852070"/>
    <w:rsid w:val="00867FCA"/>
    <w:rsid w:val="008779C8"/>
    <w:rsid w:val="00885743"/>
    <w:rsid w:val="00891130"/>
    <w:rsid w:val="008B43AD"/>
    <w:rsid w:val="008D1909"/>
    <w:rsid w:val="009138A8"/>
    <w:rsid w:val="009E14B5"/>
    <w:rsid w:val="009F0A20"/>
    <w:rsid w:val="009F6BBB"/>
    <w:rsid w:val="00A11EAF"/>
    <w:rsid w:val="00A203FA"/>
    <w:rsid w:val="00A47655"/>
    <w:rsid w:val="00A71E23"/>
    <w:rsid w:val="00A81610"/>
    <w:rsid w:val="00A82F9A"/>
    <w:rsid w:val="00B46F83"/>
    <w:rsid w:val="00BE0D1C"/>
    <w:rsid w:val="00C01EBC"/>
    <w:rsid w:val="00C460C4"/>
    <w:rsid w:val="00C57F34"/>
    <w:rsid w:val="00C76A6F"/>
    <w:rsid w:val="00C85754"/>
    <w:rsid w:val="00CE363E"/>
    <w:rsid w:val="00D40F46"/>
    <w:rsid w:val="00D425E6"/>
    <w:rsid w:val="00D600E6"/>
    <w:rsid w:val="00D8557F"/>
    <w:rsid w:val="00DB1381"/>
    <w:rsid w:val="00DB1A9D"/>
    <w:rsid w:val="00DB1EA2"/>
    <w:rsid w:val="00DC135D"/>
    <w:rsid w:val="00DE189D"/>
    <w:rsid w:val="00DE27CF"/>
    <w:rsid w:val="00E07442"/>
    <w:rsid w:val="00E27285"/>
    <w:rsid w:val="00E312F1"/>
    <w:rsid w:val="00E42077"/>
    <w:rsid w:val="00E64DDA"/>
    <w:rsid w:val="00E86AF5"/>
    <w:rsid w:val="00EA1AF9"/>
    <w:rsid w:val="00EC74F5"/>
    <w:rsid w:val="00ED3F3D"/>
    <w:rsid w:val="00EF08CF"/>
    <w:rsid w:val="00F12513"/>
    <w:rsid w:val="00F12D4C"/>
    <w:rsid w:val="00F60056"/>
    <w:rsid w:val="00F823B4"/>
    <w:rsid w:val="00F84811"/>
    <w:rsid w:val="00FB2F28"/>
    <w:rsid w:val="17E80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customStyle="1" w:styleId="8">
    <w:name w:val="列出段落1"/>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2142</Words>
  <Characters>12214</Characters>
  <Lines>101</Lines>
  <Paragraphs>28</Paragraphs>
  <TotalTime>9</TotalTime>
  <ScaleCrop>false</ScaleCrop>
  <LinksUpToDate>false</LinksUpToDate>
  <CharactersWithSpaces>14328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2020-03-24T10:02:00Z</dcterms:created>
  <dc:creator>邹盛全</dc:creator>
  <cp:lastModifiedBy>八百大爷—亮亮</cp:lastModifiedBy>
  <dcterms:modified xsi:type="dcterms:W3CDTF">2020-03-25T09:29:59Z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