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374"/>
        <w:gridCol w:w="2130"/>
        <w:gridCol w:w="1560"/>
        <w:gridCol w:w="885"/>
        <w:gridCol w:w="1410"/>
        <w:gridCol w:w="2925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  <w:t>1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闫九球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自治区水利厅副厅长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</w:rPr>
              <w:t>2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李桂新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副会长兼秘书长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自治区水利厅科技处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处长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傅文华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广西水利电力勘测设计研究院有限责任公司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廖添胜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广西农村投资集团发电有限公司副总经理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韦  洁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广西水文中心人事部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三级调研员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广西水利学会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余金凤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广西水利电力职业技术学院水利工程系系主任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唐家球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广西中信恒泰工程顾问有限公司董事副总经理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叶  岚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祥浩工程造价咨询有限责任公司总经理兼法定代表人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何晓洁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广西公信工程造价咨询有限责任公司副总经理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周永颂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广西德元工程项目管理有限责任公司总经理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李然怡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广西建信建设项目管理有限公司总裁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周慧玲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广西建设职业技术学院副教授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宁  辉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广西至佳建设工程咨询有限公司董事长兼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黄俊才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广西恒基建设工程咨询有限公司总经理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赵  文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建银工程咨询有限责任公司广西分公司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李  奕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广西城建建设集团有限公司总经理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陈群毓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广西城建咨询有限公司董事长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杨  俊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广西火天信工程管理咨询有限公司总经理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何小珍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广西远拓工程造价咨询有限公司总经理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佘志山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广西同泽工程项目管理股份有限公司总经理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冯武龙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广西信永工程咨询有限责任公司总经理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贺丽娜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南宁市建设工程造价行业协会会长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方元焕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广西盛元华工程咨询有限公司董事长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曹  慧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广西建荣工程项目管理有限公司董事长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周筱熙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广西瑞真工程造价咨询有限责任公司董事长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苏振良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广西建标建设工程咨询有限责任公司副总经理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张  昭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广西君安工程建设顾问有限公司总经理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欧阳高礼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广西联云项目管理有限公司董事长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237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</w:t>
            </w:r>
          </w:p>
        </w:tc>
        <w:tc>
          <w:tcPr>
            <w:tcW w:w="213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自治区住房城乡建设厅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温丽梅</w:t>
            </w:r>
          </w:p>
        </w:tc>
        <w:tc>
          <w:tcPr>
            <w:tcW w:w="8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41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292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广西建设工程造价管理协会秘书长</w:t>
            </w:r>
          </w:p>
        </w:tc>
        <w:tc>
          <w:tcPr>
            <w:tcW w:w="1349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960E8"/>
    <w:rsid w:val="0F386669"/>
    <w:rsid w:val="6D69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2021-01-14T03:44:00Z</dcterms:created>
  <dc:creator>韦玲宇</dc:creator>
  <cp:lastModifiedBy>韦玲宇</cp:lastModifiedBy>
  <dcterms:modified xsi:type="dcterms:W3CDTF">2021-03-01T08:28:24Z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427244043_btnclosed</vt:lpwstr>
  </property>
</Properties>
</file>