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default" w:ascii="Times New Roman" w:hAnsi="Times New Roman" w:eastAsia="方正仿宋_GBK" w:cs="Times New Roman"/>
          <w:snapToGrid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napToGrid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sz w:val="44"/>
          <w:szCs w:val="32"/>
        </w:rPr>
      </w:pPr>
      <w:r>
        <w:rPr>
          <w:rFonts w:hint="default" w:ascii="Times New Roman" w:hAnsi="Times New Roman" w:eastAsia="方正小标宋_GBK" w:cs="Times New Roman"/>
          <w:snapToGrid w:val="0"/>
          <w:sz w:val="44"/>
          <w:szCs w:val="32"/>
        </w:rPr>
        <w:t>全区性社会团体负责人任前公示名单</w:t>
      </w:r>
    </w:p>
    <w:tbl>
      <w:tblPr>
        <w:tblStyle w:val="2"/>
        <w:tblpPr w:leftFromText="180" w:rightFromText="180" w:vertAnchor="text" w:horzAnchor="page" w:tblpXSpec="center" w:tblpY="553"/>
        <w:tblOverlap w:val="never"/>
        <w:tblW w:w="14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2535"/>
        <w:gridCol w:w="2475"/>
        <w:gridCol w:w="1545"/>
        <w:gridCol w:w="682"/>
        <w:gridCol w:w="1463"/>
        <w:gridCol w:w="3385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拟任负责人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广西养老服务产业联合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广西商务行业社会组织党委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  <w:t>黄</w:t>
            </w: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  <w:t>璀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广西生命树养老产业投资有限公司总经理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广西养老服务产业联合会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广西商务行业社会组织党委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卢健筠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南宁市老来福社区养老服务中心副理事长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广西养老服务产业联合会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广西商务行业社会组织党委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黄宪诚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来宾市幸福居家养老服务中心主任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广西养老服务产业联合会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广西商务行业社会组织党委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苏桂珠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桂林心之乐老年中心院长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周华波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南宁市华波宠物医院院长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韦小建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南宁市惠康宠物医院院长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钟小利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柳州市城中区小莉宠物诊疗中心院长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罗振懂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桂林联宠康宝宠物医疗服务有限公司院长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施丽萍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钦州市钦北区施妹动物医院院长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钟旺炎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玉林市爱宠动物保健有限公司院长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冼搏耀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梧州市万秀区兽生堂动物医院院长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广西宠物诊疗行业协会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广西农牧业社会组织党委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莫珊珊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南宁市杨杨宠物医院运营经理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广西铁道学会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黄一宁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理事长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中国铁路南宁局集团有限公司副总经理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广西铁道学会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柯向喜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副理事长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中国铁路南宁局集团有限公司科信部主任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广西铁道学会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李建平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中国铁路南宁局集团有限公司科信部副主任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换届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广西光学学会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袁建辉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副理事长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广西医科大学基础医学院物理学教研室副主任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广西光学学会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高润梅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副理事长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桂林理工大学副教授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广西光学学会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自治区科协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刘志强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中国电子科技集团公司第三十四研究所研究员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广西法官协会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自治区高级法院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黄海龙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自治区高级法院党组书记、院长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广西法官协会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自治区高级法院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卢上需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自治区高级法院党组成员、副院长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广西法官协会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自治区高级法院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梁月奎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副会长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自治区高级法院党组成员、副院长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8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5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广西珠宝协会</w:t>
            </w:r>
          </w:p>
        </w:tc>
        <w:tc>
          <w:tcPr>
            <w:tcW w:w="247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自治区自然资源厅</w:t>
            </w:r>
          </w:p>
        </w:tc>
        <w:tc>
          <w:tcPr>
            <w:tcW w:w="154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易理文</w:t>
            </w:r>
          </w:p>
        </w:tc>
        <w:tc>
          <w:tcPr>
            <w:tcW w:w="68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1463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秘书长</w:t>
            </w:r>
          </w:p>
        </w:tc>
        <w:tc>
          <w:tcPr>
            <w:tcW w:w="338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广西珠宝协会秘书长</w:t>
            </w:r>
          </w:p>
        </w:tc>
        <w:tc>
          <w:tcPr>
            <w:tcW w:w="1457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sz w:val="28"/>
                <w:szCs w:val="28"/>
                <w:lang w:val="en-US" w:eastAsia="zh-CN"/>
              </w:rPr>
              <w:t>届中调整</w:t>
            </w:r>
          </w:p>
        </w:tc>
      </w:tr>
    </w:tbl>
    <w:p>
      <w:pPr>
        <w:overflowPunct w:val="0"/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_GBK" w:cs="Times New Roman"/>
          <w:snapToGrid w:val="0"/>
          <w:sz w:val="44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206C9"/>
    <w:rsid w:val="438206C9"/>
    <w:rsid w:val="76FB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2021-01-14T03:25:00Z</dcterms:created>
  <dc:creator>韦玲宇</dc:creator>
  <cp:lastModifiedBy>韦玲宇</cp:lastModifiedBy>
  <dcterms:modified xsi:type="dcterms:W3CDTF">2021-01-14T03:31:15Z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427244043_btnclosed</vt:lpwstr>
  </property>
</Properties>
</file>